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E3A1B" w14:textId="77777777" w:rsidR="00A763AF" w:rsidRDefault="00430553">
      <w:pPr>
        <w:pStyle w:val="Corpsdetexte"/>
        <w:ind w:left="103"/>
        <w:rPr>
          <w:rFonts w:ascii="Times New Roman"/>
          <w:b w:val="0"/>
          <w:sz w:val="20"/>
          <w:u w:val="none"/>
        </w:rPr>
      </w:pPr>
      <w:r>
        <w:rPr>
          <w:rFonts w:ascii="Times New Roman"/>
          <w:b w:val="0"/>
          <w:noProof/>
          <w:sz w:val="20"/>
          <w:u w:val="none"/>
          <w:lang w:eastAsia="fr-FR"/>
        </w:rPr>
        <w:drawing>
          <wp:inline distT="0" distB="0" distL="0" distR="0" wp14:anchorId="40C45C15" wp14:editId="480D62A0">
            <wp:extent cx="3776472" cy="792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Bloc-marque_RVB_faculte_ec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6472" cy="792480"/>
                    </a:xfrm>
                    <a:prstGeom prst="rect">
                      <a:avLst/>
                    </a:prstGeom>
                  </pic:spPr>
                </pic:pic>
              </a:graphicData>
            </a:graphic>
          </wp:inline>
        </w:drawing>
      </w:r>
    </w:p>
    <w:p w14:paraId="4677F998" w14:textId="77777777" w:rsidR="00A763AF" w:rsidRDefault="00A763AF">
      <w:pPr>
        <w:pStyle w:val="Corpsdetexte"/>
        <w:rPr>
          <w:rFonts w:ascii="Times New Roman"/>
          <w:b w:val="0"/>
          <w:sz w:val="20"/>
          <w:u w:val="none"/>
        </w:rPr>
      </w:pPr>
    </w:p>
    <w:p w14:paraId="03AF299E" w14:textId="77777777" w:rsidR="00A763AF" w:rsidRDefault="00BE5B8A" w:rsidP="00430553">
      <w:pPr>
        <w:pStyle w:val="Corpsdetexte"/>
        <w:spacing w:before="162"/>
        <w:ind w:left="-142" w:right="-280"/>
        <w:jc w:val="center"/>
        <w:rPr>
          <w:u w:val="none"/>
        </w:rPr>
      </w:pPr>
      <w:r>
        <w:rPr>
          <w:spacing w:val="-2"/>
        </w:rPr>
        <w:t>SYLLABUS</w:t>
      </w:r>
      <w:r w:rsidR="00430553">
        <w:rPr>
          <w:spacing w:val="-2"/>
        </w:rPr>
        <w:t xml:space="preserve"> DE COURS</w:t>
      </w:r>
    </w:p>
    <w:p w14:paraId="71DC4D5D" w14:textId="77777777" w:rsidR="00A763AF" w:rsidRDefault="00A763AF">
      <w:pPr>
        <w:spacing w:before="5"/>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6651"/>
      </w:tblGrid>
      <w:tr w:rsidR="00430553" w14:paraId="0786ACFF" w14:textId="77777777" w:rsidTr="00347F5D">
        <w:trPr>
          <w:trHeight w:val="294"/>
        </w:trPr>
        <w:tc>
          <w:tcPr>
            <w:tcW w:w="3262" w:type="dxa"/>
            <w:vAlign w:val="center"/>
          </w:tcPr>
          <w:p w14:paraId="2B90E71E" w14:textId="77777777" w:rsidR="00430553" w:rsidRDefault="00430553">
            <w:pPr>
              <w:pStyle w:val="TableParagraph"/>
              <w:spacing w:before="1" w:line="273" w:lineRule="exact"/>
              <w:ind w:left="144" w:right="137"/>
              <w:jc w:val="center"/>
              <w:rPr>
                <w:b/>
                <w:sz w:val="24"/>
              </w:rPr>
            </w:pPr>
            <w:r>
              <w:rPr>
                <w:b/>
                <w:sz w:val="24"/>
              </w:rPr>
              <w:t>Année d’étude - parcours</w:t>
            </w:r>
          </w:p>
        </w:tc>
        <w:tc>
          <w:tcPr>
            <w:tcW w:w="6651" w:type="dxa"/>
            <w:vAlign w:val="center"/>
          </w:tcPr>
          <w:p w14:paraId="70FF26F6" w14:textId="4D61FA7E" w:rsidR="00430553" w:rsidRDefault="00867A9E" w:rsidP="00430553">
            <w:pPr>
              <w:pStyle w:val="TableParagraph"/>
              <w:spacing w:before="1" w:line="273" w:lineRule="exact"/>
              <w:rPr>
                <w:b/>
                <w:sz w:val="24"/>
              </w:rPr>
            </w:pPr>
            <w:r>
              <w:rPr>
                <w:b/>
                <w:sz w:val="24"/>
              </w:rPr>
              <w:t>L2 – Eco</w:t>
            </w:r>
            <w:bookmarkStart w:id="0" w:name="_GoBack"/>
            <w:bookmarkEnd w:id="0"/>
            <w:r w:rsidR="00347F5D">
              <w:rPr>
                <w:b/>
                <w:sz w:val="24"/>
              </w:rPr>
              <w:t>-Gestion</w:t>
            </w:r>
          </w:p>
        </w:tc>
      </w:tr>
      <w:tr w:rsidR="00A763AF" w14:paraId="0E656D17" w14:textId="77777777" w:rsidTr="00347F5D">
        <w:trPr>
          <w:trHeight w:val="294"/>
        </w:trPr>
        <w:tc>
          <w:tcPr>
            <w:tcW w:w="3262" w:type="dxa"/>
            <w:vAlign w:val="center"/>
          </w:tcPr>
          <w:p w14:paraId="54A76F67" w14:textId="77777777" w:rsidR="00A763AF" w:rsidRDefault="00BE5B8A">
            <w:pPr>
              <w:pStyle w:val="TableParagraph"/>
              <w:spacing w:before="1" w:line="273" w:lineRule="exact"/>
              <w:ind w:left="144" w:right="137"/>
              <w:jc w:val="center"/>
              <w:rPr>
                <w:b/>
                <w:sz w:val="24"/>
              </w:rPr>
            </w:pPr>
            <w:r>
              <w:rPr>
                <w:b/>
                <w:sz w:val="24"/>
              </w:rPr>
              <w:t>Intitulé</w:t>
            </w:r>
            <w:r>
              <w:rPr>
                <w:b/>
                <w:spacing w:val="-2"/>
                <w:sz w:val="24"/>
              </w:rPr>
              <w:t xml:space="preserve"> </w:t>
            </w:r>
            <w:r>
              <w:rPr>
                <w:b/>
                <w:sz w:val="24"/>
              </w:rPr>
              <w:t>du</w:t>
            </w:r>
            <w:r>
              <w:rPr>
                <w:b/>
                <w:spacing w:val="-2"/>
                <w:sz w:val="24"/>
              </w:rPr>
              <w:t xml:space="preserve"> cours</w:t>
            </w:r>
          </w:p>
        </w:tc>
        <w:tc>
          <w:tcPr>
            <w:tcW w:w="6651" w:type="dxa"/>
            <w:vAlign w:val="center"/>
          </w:tcPr>
          <w:p w14:paraId="3669A82C" w14:textId="0024637D" w:rsidR="00A763AF" w:rsidRDefault="00347F5D" w:rsidP="00430553">
            <w:pPr>
              <w:pStyle w:val="TableParagraph"/>
              <w:spacing w:before="1" w:line="273" w:lineRule="exact"/>
              <w:rPr>
                <w:b/>
                <w:sz w:val="24"/>
              </w:rPr>
            </w:pPr>
            <w:r>
              <w:rPr>
                <w:b/>
                <w:sz w:val="24"/>
              </w:rPr>
              <w:t>Economie des Organisations</w:t>
            </w:r>
          </w:p>
        </w:tc>
      </w:tr>
      <w:tr w:rsidR="00A763AF" w14:paraId="01913241" w14:textId="77777777" w:rsidTr="00347F5D">
        <w:trPr>
          <w:trHeight w:val="292"/>
        </w:trPr>
        <w:tc>
          <w:tcPr>
            <w:tcW w:w="3262" w:type="dxa"/>
            <w:vAlign w:val="center"/>
          </w:tcPr>
          <w:p w14:paraId="6416BB4F" w14:textId="77777777" w:rsidR="00A763AF" w:rsidRDefault="00BE5B8A">
            <w:pPr>
              <w:pStyle w:val="TableParagraph"/>
              <w:spacing w:line="272" w:lineRule="exact"/>
              <w:ind w:left="144" w:right="136"/>
              <w:jc w:val="center"/>
              <w:rPr>
                <w:b/>
                <w:sz w:val="24"/>
              </w:rPr>
            </w:pPr>
            <w:r>
              <w:rPr>
                <w:b/>
                <w:sz w:val="24"/>
              </w:rPr>
              <w:t>Numéro</w:t>
            </w:r>
            <w:r>
              <w:rPr>
                <w:b/>
                <w:spacing w:val="-1"/>
                <w:sz w:val="24"/>
              </w:rPr>
              <w:t xml:space="preserve"> </w:t>
            </w:r>
            <w:r>
              <w:rPr>
                <w:b/>
                <w:sz w:val="24"/>
              </w:rPr>
              <w:t>de</w:t>
            </w:r>
            <w:r>
              <w:rPr>
                <w:b/>
                <w:spacing w:val="-3"/>
                <w:sz w:val="24"/>
              </w:rPr>
              <w:t xml:space="preserve"> </w:t>
            </w:r>
            <w:r>
              <w:rPr>
                <w:b/>
                <w:spacing w:val="-4"/>
                <w:sz w:val="24"/>
              </w:rPr>
              <w:t>l’UE</w:t>
            </w:r>
          </w:p>
        </w:tc>
        <w:tc>
          <w:tcPr>
            <w:tcW w:w="6651" w:type="dxa"/>
            <w:vAlign w:val="center"/>
          </w:tcPr>
          <w:p w14:paraId="571CA921" w14:textId="77777777" w:rsidR="00A763AF" w:rsidRDefault="00A763AF" w:rsidP="00430553">
            <w:pPr>
              <w:pStyle w:val="TableParagraph"/>
              <w:spacing w:line="265" w:lineRule="exact"/>
            </w:pPr>
          </w:p>
        </w:tc>
      </w:tr>
      <w:tr w:rsidR="00A763AF" w14:paraId="36AA4001" w14:textId="77777777" w:rsidTr="00347F5D">
        <w:trPr>
          <w:trHeight w:val="585"/>
        </w:trPr>
        <w:tc>
          <w:tcPr>
            <w:tcW w:w="3262" w:type="dxa"/>
            <w:vAlign w:val="center"/>
          </w:tcPr>
          <w:p w14:paraId="3A41A43B" w14:textId="77777777" w:rsidR="00A763AF" w:rsidRDefault="00BE5B8A">
            <w:pPr>
              <w:pStyle w:val="TableParagraph"/>
              <w:spacing w:line="292" w:lineRule="exact"/>
              <w:ind w:left="143" w:right="137"/>
              <w:jc w:val="center"/>
              <w:rPr>
                <w:b/>
                <w:sz w:val="24"/>
              </w:rPr>
            </w:pPr>
            <w:r>
              <w:rPr>
                <w:b/>
                <w:sz w:val="24"/>
              </w:rPr>
              <w:t>Volume</w:t>
            </w:r>
            <w:r>
              <w:rPr>
                <w:b/>
                <w:spacing w:val="-4"/>
                <w:sz w:val="24"/>
              </w:rPr>
              <w:t xml:space="preserve"> </w:t>
            </w:r>
            <w:r>
              <w:rPr>
                <w:b/>
                <w:sz w:val="24"/>
              </w:rPr>
              <w:t>horaire</w:t>
            </w:r>
            <w:r>
              <w:rPr>
                <w:b/>
                <w:spacing w:val="-1"/>
                <w:sz w:val="24"/>
              </w:rPr>
              <w:t xml:space="preserve"> </w:t>
            </w:r>
            <w:r>
              <w:rPr>
                <w:b/>
                <w:sz w:val="24"/>
              </w:rPr>
              <w:t>(en</w:t>
            </w:r>
            <w:r>
              <w:rPr>
                <w:b/>
                <w:spacing w:val="-3"/>
                <w:sz w:val="24"/>
              </w:rPr>
              <w:t xml:space="preserve"> </w:t>
            </w:r>
            <w:r>
              <w:rPr>
                <w:b/>
                <w:spacing w:val="-2"/>
                <w:sz w:val="24"/>
              </w:rPr>
              <w:t>heures</w:t>
            </w:r>
          </w:p>
          <w:p w14:paraId="03464341" w14:textId="77777777" w:rsidR="00A763AF" w:rsidRDefault="00BE5B8A">
            <w:pPr>
              <w:pStyle w:val="TableParagraph"/>
              <w:spacing w:line="273" w:lineRule="exact"/>
              <w:ind w:left="142" w:right="137"/>
              <w:jc w:val="center"/>
              <w:rPr>
                <w:b/>
                <w:sz w:val="24"/>
              </w:rPr>
            </w:pPr>
            <w:r>
              <w:rPr>
                <w:b/>
                <w:spacing w:val="-2"/>
                <w:sz w:val="24"/>
              </w:rPr>
              <w:t>maquettes)</w:t>
            </w:r>
          </w:p>
        </w:tc>
        <w:tc>
          <w:tcPr>
            <w:tcW w:w="6651" w:type="dxa"/>
            <w:vAlign w:val="center"/>
          </w:tcPr>
          <w:p w14:paraId="398ECF0F" w14:textId="438FC4B5" w:rsidR="00A763AF" w:rsidRDefault="00347F5D" w:rsidP="00430553">
            <w:pPr>
              <w:pStyle w:val="TableParagraph"/>
              <w:spacing w:line="265" w:lineRule="exact"/>
            </w:pPr>
            <w:r>
              <w:t>17h30</w:t>
            </w:r>
          </w:p>
        </w:tc>
      </w:tr>
      <w:tr w:rsidR="00A763AF" w14:paraId="19C892D9" w14:textId="77777777" w:rsidTr="00347F5D">
        <w:trPr>
          <w:trHeight w:val="2150"/>
        </w:trPr>
        <w:tc>
          <w:tcPr>
            <w:tcW w:w="3262" w:type="dxa"/>
            <w:vAlign w:val="center"/>
          </w:tcPr>
          <w:p w14:paraId="3C6630C5" w14:textId="77777777" w:rsidR="00430553" w:rsidRDefault="00BE5B8A" w:rsidP="00430553">
            <w:pPr>
              <w:pStyle w:val="TableParagraph"/>
              <w:ind w:left="881" w:hanging="629"/>
              <w:jc w:val="center"/>
              <w:rPr>
                <w:b/>
                <w:sz w:val="24"/>
              </w:rPr>
            </w:pPr>
            <w:r>
              <w:rPr>
                <w:b/>
                <w:sz w:val="24"/>
              </w:rPr>
              <w:t>Objectifs</w:t>
            </w:r>
            <w:r>
              <w:rPr>
                <w:b/>
                <w:spacing w:val="-14"/>
                <w:sz w:val="24"/>
              </w:rPr>
              <w:t xml:space="preserve"> </w:t>
            </w:r>
            <w:r>
              <w:rPr>
                <w:b/>
                <w:sz w:val="24"/>
              </w:rPr>
              <w:t>et</w:t>
            </w:r>
            <w:r>
              <w:rPr>
                <w:b/>
                <w:spacing w:val="-14"/>
                <w:sz w:val="24"/>
              </w:rPr>
              <w:t xml:space="preserve"> </w:t>
            </w:r>
            <w:r w:rsidR="00430553">
              <w:rPr>
                <w:b/>
                <w:sz w:val="24"/>
              </w:rPr>
              <w:t>compétences</w:t>
            </w:r>
          </w:p>
          <w:p w14:paraId="3769B734" w14:textId="77777777" w:rsidR="00A763AF" w:rsidRDefault="00BE5B8A" w:rsidP="00430553">
            <w:pPr>
              <w:pStyle w:val="TableParagraph"/>
              <w:ind w:left="881" w:hanging="629"/>
              <w:jc w:val="center"/>
              <w:rPr>
                <w:b/>
                <w:sz w:val="24"/>
              </w:rPr>
            </w:pPr>
            <w:r>
              <w:rPr>
                <w:b/>
                <w:spacing w:val="-2"/>
                <w:sz w:val="24"/>
              </w:rPr>
              <w:t>développées</w:t>
            </w:r>
          </w:p>
        </w:tc>
        <w:tc>
          <w:tcPr>
            <w:tcW w:w="6651" w:type="dxa"/>
            <w:vAlign w:val="center"/>
          </w:tcPr>
          <w:p w14:paraId="6DA62439" w14:textId="4428B54A" w:rsidR="00A763AF" w:rsidRDefault="00347F5D" w:rsidP="00430553">
            <w:pPr>
              <w:pStyle w:val="TableParagraph"/>
              <w:ind w:right="91"/>
            </w:pPr>
            <w:r>
              <w:t>L’enseignement vise à montrer l’importance des questions d’organisation dans la vie économique et à permettre l’acquisition des principaux outils que l’analyse économique à développer pour mieux les cerner et en tirer les conséquences, en matière de gestion des entreprises en particulier.</w:t>
            </w:r>
          </w:p>
        </w:tc>
      </w:tr>
      <w:tr w:rsidR="00A763AF" w14:paraId="6A1EF7FE" w14:textId="77777777" w:rsidTr="00347F5D">
        <w:trPr>
          <w:trHeight w:val="3544"/>
        </w:trPr>
        <w:tc>
          <w:tcPr>
            <w:tcW w:w="3262" w:type="dxa"/>
            <w:vAlign w:val="center"/>
          </w:tcPr>
          <w:p w14:paraId="3EB6574A" w14:textId="77777777" w:rsidR="00430553" w:rsidRDefault="00BE5B8A" w:rsidP="00430553">
            <w:pPr>
              <w:pStyle w:val="TableParagraph"/>
              <w:ind w:left="0"/>
              <w:jc w:val="center"/>
              <w:rPr>
                <w:b/>
                <w:sz w:val="24"/>
              </w:rPr>
            </w:pPr>
            <w:r>
              <w:rPr>
                <w:b/>
                <w:sz w:val="24"/>
              </w:rPr>
              <w:t>Contenu</w:t>
            </w:r>
            <w:r w:rsidRPr="00430553">
              <w:rPr>
                <w:b/>
                <w:sz w:val="24"/>
              </w:rPr>
              <w:t xml:space="preserve"> </w:t>
            </w:r>
            <w:r>
              <w:rPr>
                <w:b/>
                <w:sz w:val="24"/>
              </w:rPr>
              <w:t>et</w:t>
            </w:r>
            <w:r w:rsidRPr="00430553">
              <w:rPr>
                <w:b/>
                <w:sz w:val="24"/>
              </w:rPr>
              <w:t xml:space="preserve"> </w:t>
            </w:r>
            <w:r w:rsidR="00430553">
              <w:rPr>
                <w:b/>
                <w:sz w:val="24"/>
              </w:rPr>
              <w:t>moyens</w:t>
            </w:r>
          </w:p>
          <w:p w14:paraId="743F7E28" w14:textId="77777777" w:rsidR="00A763AF" w:rsidRDefault="00BE5B8A" w:rsidP="00430553">
            <w:pPr>
              <w:pStyle w:val="TableParagraph"/>
              <w:ind w:left="0"/>
              <w:jc w:val="center"/>
              <w:rPr>
                <w:b/>
                <w:sz w:val="24"/>
              </w:rPr>
            </w:pPr>
            <w:r w:rsidRPr="00430553">
              <w:rPr>
                <w:b/>
                <w:sz w:val="24"/>
              </w:rPr>
              <w:t>pédagogiques</w:t>
            </w:r>
          </w:p>
        </w:tc>
        <w:tc>
          <w:tcPr>
            <w:tcW w:w="6651" w:type="dxa"/>
            <w:vAlign w:val="center"/>
          </w:tcPr>
          <w:p w14:paraId="3009CF45" w14:textId="4089A551" w:rsidR="00A763AF" w:rsidRDefault="00347F5D" w:rsidP="00430553">
            <w:pPr>
              <w:pStyle w:val="TableParagraph"/>
              <w:ind w:right="91"/>
              <w:rPr>
                <w:sz w:val="24"/>
              </w:rPr>
            </w:pPr>
            <w:r>
              <w:rPr>
                <w:sz w:val="24"/>
              </w:rPr>
              <w:t>Le cours propose, en s’adossant sur de multiples exemples tirés de l’actualité et de l’histoire des industries, de montrer en quoi consistent les approches des organisations qui s’inscrivent dans le prolongement de la théorie économique standard.</w:t>
            </w:r>
          </w:p>
          <w:p w14:paraId="0BCDD8B6" w14:textId="77777777" w:rsidR="00347F5D" w:rsidRDefault="00347F5D" w:rsidP="00430553">
            <w:pPr>
              <w:pStyle w:val="TableParagraph"/>
              <w:ind w:right="91"/>
              <w:rPr>
                <w:sz w:val="24"/>
              </w:rPr>
            </w:pPr>
            <w:r>
              <w:rPr>
                <w:sz w:val="24"/>
              </w:rPr>
              <w:t xml:space="preserve">Sont ainsi abordée les approches dites « contractualistes » </w:t>
            </w:r>
            <w:r w:rsidR="00CA0C02">
              <w:rPr>
                <w:sz w:val="24"/>
              </w:rPr>
              <w:t>appelées respectivement théories de l’agence et théorie des coûts de transaction.</w:t>
            </w:r>
          </w:p>
          <w:p w14:paraId="42D7C149" w14:textId="690A6F58" w:rsidR="00CA0C02" w:rsidRDefault="00CA0C02" w:rsidP="00430553">
            <w:pPr>
              <w:pStyle w:val="TableParagraph"/>
              <w:ind w:right="91"/>
              <w:rPr>
                <w:sz w:val="24"/>
              </w:rPr>
            </w:pPr>
            <w:r>
              <w:rPr>
                <w:sz w:val="24"/>
              </w:rPr>
              <w:t>Sont ensuite présentées, les analyses qui cherchent à rompre avec l’économie standard et proposent d’appréhender les organisations soit à partir des connaissances qu’elles gèrent ou créent soit à partir des enjeux politiques qui structurent leur vie.</w:t>
            </w:r>
          </w:p>
        </w:tc>
      </w:tr>
      <w:tr w:rsidR="00A763AF" w14:paraId="6A892D69" w14:textId="77777777" w:rsidTr="00347F5D">
        <w:trPr>
          <w:trHeight w:val="794"/>
        </w:trPr>
        <w:tc>
          <w:tcPr>
            <w:tcW w:w="3262" w:type="dxa"/>
            <w:vAlign w:val="center"/>
          </w:tcPr>
          <w:p w14:paraId="411CA962" w14:textId="77777777" w:rsidR="00A763AF" w:rsidRDefault="00BE5B8A" w:rsidP="00430553">
            <w:pPr>
              <w:pStyle w:val="TableParagraph"/>
              <w:ind w:left="0"/>
              <w:jc w:val="center"/>
              <w:rPr>
                <w:b/>
                <w:sz w:val="24"/>
              </w:rPr>
            </w:pPr>
            <w:proofErr w:type="spellStart"/>
            <w:r w:rsidRPr="00430553">
              <w:rPr>
                <w:b/>
                <w:sz w:val="24"/>
              </w:rPr>
              <w:t>Pré-requis</w:t>
            </w:r>
            <w:proofErr w:type="spellEnd"/>
          </w:p>
        </w:tc>
        <w:tc>
          <w:tcPr>
            <w:tcW w:w="6651" w:type="dxa"/>
            <w:vAlign w:val="center"/>
          </w:tcPr>
          <w:p w14:paraId="039AF3D7" w14:textId="1A8DFA07" w:rsidR="00A763AF" w:rsidRDefault="00CA0C02" w:rsidP="00430553">
            <w:pPr>
              <w:pStyle w:val="TableParagraph"/>
              <w:spacing w:line="265" w:lineRule="exact"/>
            </w:pPr>
            <w:r>
              <w:t>Microéconomie du producteur et de la concurrence parfaite et imparfaite</w:t>
            </w:r>
          </w:p>
        </w:tc>
      </w:tr>
      <w:tr w:rsidR="00A763AF" w14:paraId="639D0284" w14:textId="77777777" w:rsidTr="00347F5D">
        <w:trPr>
          <w:trHeight w:val="292"/>
        </w:trPr>
        <w:tc>
          <w:tcPr>
            <w:tcW w:w="3262" w:type="dxa"/>
            <w:vAlign w:val="center"/>
          </w:tcPr>
          <w:p w14:paraId="2B9FF8BA" w14:textId="77777777" w:rsidR="00A763AF" w:rsidRDefault="00BE5B8A" w:rsidP="00430553">
            <w:pPr>
              <w:pStyle w:val="TableParagraph"/>
              <w:ind w:left="0"/>
              <w:jc w:val="center"/>
              <w:rPr>
                <w:b/>
                <w:sz w:val="24"/>
              </w:rPr>
            </w:pPr>
            <w:r>
              <w:rPr>
                <w:b/>
                <w:sz w:val="24"/>
              </w:rPr>
              <w:t xml:space="preserve">Modalités </w:t>
            </w:r>
            <w:r w:rsidRPr="00430553">
              <w:rPr>
                <w:b/>
                <w:sz w:val="24"/>
              </w:rPr>
              <w:t>d’évaluation</w:t>
            </w:r>
          </w:p>
        </w:tc>
        <w:tc>
          <w:tcPr>
            <w:tcW w:w="6651" w:type="dxa"/>
            <w:vAlign w:val="center"/>
          </w:tcPr>
          <w:p w14:paraId="3315BA68" w14:textId="36ED1DA0" w:rsidR="00A763AF" w:rsidRDefault="00CA0C02" w:rsidP="00430553">
            <w:pPr>
              <w:pStyle w:val="TableParagraph"/>
              <w:spacing w:line="265" w:lineRule="exact"/>
            </w:pPr>
            <w:r>
              <w:t>QCM et mini-dissertation</w:t>
            </w:r>
          </w:p>
        </w:tc>
      </w:tr>
      <w:tr w:rsidR="00A763AF" w14:paraId="63233E23" w14:textId="77777777" w:rsidTr="00347F5D">
        <w:trPr>
          <w:trHeight w:val="971"/>
        </w:trPr>
        <w:tc>
          <w:tcPr>
            <w:tcW w:w="3262" w:type="dxa"/>
            <w:vAlign w:val="center"/>
          </w:tcPr>
          <w:p w14:paraId="197680E2" w14:textId="77777777" w:rsidR="00A763AF" w:rsidRDefault="00BE5B8A" w:rsidP="00430553">
            <w:pPr>
              <w:pStyle w:val="TableParagraph"/>
              <w:ind w:left="0"/>
              <w:jc w:val="center"/>
              <w:rPr>
                <w:b/>
                <w:sz w:val="24"/>
              </w:rPr>
            </w:pPr>
            <w:r w:rsidRPr="00430553">
              <w:rPr>
                <w:b/>
                <w:sz w:val="24"/>
              </w:rPr>
              <w:t>Références bibliographiques</w:t>
            </w:r>
          </w:p>
        </w:tc>
        <w:tc>
          <w:tcPr>
            <w:tcW w:w="6651" w:type="dxa"/>
            <w:vAlign w:val="center"/>
          </w:tcPr>
          <w:p w14:paraId="3193F9B7" w14:textId="77777777" w:rsidR="00A763AF" w:rsidRDefault="00CA0C02" w:rsidP="00430553">
            <w:pPr>
              <w:pStyle w:val="TableParagraph"/>
              <w:spacing w:line="288" w:lineRule="auto"/>
              <w:rPr>
                <w:sz w:val="24"/>
              </w:rPr>
            </w:pPr>
            <w:proofErr w:type="spellStart"/>
            <w:r>
              <w:rPr>
                <w:sz w:val="24"/>
              </w:rPr>
              <w:t>Coriat</w:t>
            </w:r>
            <w:proofErr w:type="spellEnd"/>
            <w:r>
              <w:rPr>
                <w:sz w:val="24"/>
              </w:rPr>
              <w:t xml:space="preserve"> B., Weinstein O., </w:t>
            </w:r>
            <w:r w:rsidRPr="00CA0C02">
              <w:rPr>
                <w:i/>
                <w:iCs/>
                <w:sz w:val="24"/>
              </w:rPr>
              <w:t>Les nouvelles théories de</w:t>
            </w:r>
            <w:r>
              <w:rPr>
                <w:sz w:val="24"/>
              </w:rPr>
              <w:t xml:space="preserve"> </w:t>
            </w:r>
            <w:r w:rsidRPr="00CA0C02">
              <w:rPr>
                <w:i/>
                <w:iCs/>
                <w:sz w:val="24"/>
              </w:rPr>
              <w:t>l’entreprise</w:t>
            </w:r>
            <w:r>
              <w:rPr>
                <w:sz w:val="24"/>
              </w:rPr>
              <w:t>, Livres de Poche, 1995.</w:t>
            </w:r>
          </w:p>
          <w:p w14:paraId="723B2C66" w14:textId="6B863562" w:rsidR="00CA0C02" w:rsidRDefault="00CA0C02" w:rsidP="00430553">
            <w:pPr>
              <w:pStyle w:val="TableParagraph"/>
              <w:spacing w:line="288" w:lineRule="auto"/>
              <w:rPr>
                <w:sz w:val="24"/>
              </w:rPr>
            </w:pPr>
            <w:proofErr w:type="spellStart"/>
            <w:r>
              <w:rPr>
                <w:sz w:val="24"/>
              </w:rPr>
              <w:t>Bouba</w:t>
            </w:r>
            <w:proofErr w:type="spellEnd"/>
            <w:r>
              <w:rPr>
                <w:sz w:val="24"/>
              </w:rPr>
              <w:t xml:space="preserve">-Olga O., </w:t>
            </w:r>
            <w:r w:rsidRPr="00CA0C02">
              <w:rPr>
                <w:i/>
                <w:iCs/>
                <w:sz w:val="24"/>
              </w:rPr>
              <w:t>L’économie de l’entreprise</w:t>
            </w:r>
            <w:r>
              <w:rPr>
                <w:sz w:val="24"/>
              </w:rPr>
              <w:t>, Points, 2003.</w:t>
            </w:r>
          </w:p>
        </w:tc>
      </w:tr>
    </w:tbl>
    <w:p w14:paraId="5A13B2EF" w14:textId="77777777" w:rsidR="00A23A5D" w:rsidRDefault="00A23A5D"/>
    <w:sectPr w:rsidR="00A23A5D">
      <w:type w:val="continuous"/>
      <w:pgSz w:w="11910" w:h="16840"/>
      <w:pgMar w:top="800" w:right="9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AF"/>
    <w:rsid w:val="001E26ED"/>
    <w:rsid w:val="00347F5D"/>
    <w:rsid w:val="00430553"/>
    <w:rsid w:val="00540377"/>
    <w:rsid w:val="00867A9E"/>
    <w:rsid w:val="00A23A5D"/>
    <w:rsid w:val="00A763AF"/>
    <w:rsid w:val="00B9254C"/>
    <w:rsid w:val="00BE5B8A"/>
    <w:rsid w:val="00CA0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8"/>
      <w:szCs w:val="2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8"/>
    </w:pPr>
  </w:style>
  <w:style w:type="paragraph" w:styleId="Textedebulles">
    <w:name w:val="Balloon Text"/>
    <w:basedOn w:val="Normal"/>
    <w:link w:val="TextedebullesCar"/>
    <w:uiPriority w:val="99"/>
    <w:semiHidden/>
    <w:unhideWhenUsed/>
    <w:rsid w:val="001E26ED"/>
    <w:rPr>
      <w:rFonts w:ascii="Tahoma" w:hAnsi="Tahoma" w:cs="Tahoma"/>
      <w:sz w:val="16"/>
      <w:szCs w:val="16"/>
    </w:rPr>
  </w:style>
  <w:style w:type="character" w:customStyle="1" w:styleId="TextedebullesCar">
    <w:name w:val="Texte de bulles Car"/>
    <w:basedOn w:val="Policepardfaut"/>
    <w:link w:val="Textedebulles"/>
    <w:uiPriority w:val="99"/>
    <w:semiHidden/>
    <w:rsid w:val="001E26ED"/>
    <w:rPr>
      <w:rFonts w:ascii="Tahoma" w:eastAsia="Calibri"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8"/>
      <w:szCs w:val="2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8"/>
    </w:pPr>
  </w:style>
  <w:style w:type="paragraph" w:styleId="Textedebulles">
    <w:name w:val="Balloon Text"/>
    <w:basedOn w:val="Normal"/>
    <w:link w:val="TextedebullesCar"/>
    <w:uiPriority w:val="99"/>
    <w:semiHidden/>
    <w:unhideWhenUsed/>
    <w:rsid w:val="001E26ED"/>
    <w:rPr>
      <w:rFonts w:ascii="Tahoma" w:hAnsi="Tahoma" w:cs="Tahoma"/>
      <w:sz w:val="16"/>
      <w:szCs w:val="16"/>
    </w:rPr>
  </w:style>
  <w:style w:type="character" w:customStyle="1" w:styleId="TextedebullesCar">
    <w:name w:val="Texte de bulles Car"/>
    <w:basedOn w:val="Policepardfaut"/>
    <w:link w:val="Textedebulles"/>
    <w:uiPriority w:val="99"/>
    <w:semiHidden/>
    <w:rsid w:val="001E26ED"/>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1253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Galeron</dc:creator>
  <cp:lastModifiedBy>Virol Stephane</cp:lastModifiedBy>
  <cp:revision>2</cp:revision>
  <dcterms:created xsi:type="dcterms:W3CDTF">2023-09-19T09:41:00Z</dcterms:created>
  <dcterms:modified xsi:type="dcterms:W3CDTF">2023-09-19T09:41:00Z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Microsoft® Word 2010</vt:lpwstr>
  </property>
  <property fmtid="{D5CDD505-2E9C-101B-9397-08002B2CF9AE}" pid="4" name="LastSaved">
    <vt:filetime>2022-04-25T00:00:00Z</vt:filetime>
  </property>
</Properties>
</file>