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3AF" w:rsidRDefault="00430553">
      <w:pPr>
        <w:pStyle w:val="Corpsdetexte"/>
        <w:ind w:left="103"/>
        <w:rPr>
          <w:rFonts w:ascii="Times New Roman"/>
          <w:b w:val="0"/>
          <w:sz w:val="20"/>
          <w:u w:val="none"/>
        </w:rPr>
      </w:pPr>
      <w:bookmarkStart w:id="0" w:name="_GoBack"/>
      <w:bookmarkEnd w:id="0"/>
      <w:r>
        <w:rPr>
          <w:rFonts w:ascii="Times New Roman"/>
          <w:b w:val="0"/>
          <w:noProof/>
          <w:sz w:val="20"/>
          <w:u w:val="none"/>
          <w:lang w:eastAsia="fr-FR"/>
        </w:rPr>
        <w:drawing>
          <wp:inline distT="0" distB="0" distL="0" distR="0">
            <wp:extent cx="3776472" cy="792480"/>
            <wp:effectExtent l="0" t="0" r="0" b="762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1_Bloc-marque_RVB_faculte_ec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776472" cy="792480"/>
                    </a:xfrm>
                    <a:prstGeom prst="rect">
                      <a:avLst/>
                    </a:prstGeom>
                  </pic:spPr>
                </pic:pic>
              </a:graphicData>
            </a:graphic>
          </wp:inline>
        </w:drawing>
      </w:r>
    </w:p>
    <w:p w:rsidR="00A763AF" w:rsidRDefault="00A763AF">
      <w:pPr>
        <w:pStyle w:val="Corpsdetexte"/>
        <w:rPr>
          <w:rFonts w:ascii="Times New Roman"/>
          <w:b w:val="0"/>
          <w:sz w:val="20"/>
          <w:u w:val="none"/>
        </w:rPr>
      </w:pPr>
    </w:p>
    <w:p w:rsidR="00A763AF" w:rsidRDefault="00BE5B8A" w:rsidP="00430553">
      <w:pPr>
        <w:pStyle w:val="Corpsdetexte"/>
        <w:spacing w:before="162"/>
        <w:ind w:left="-142" w:right="-280"/>
        <w:jc w:val="center"/>
        <w:rPr>
          <w:u w:val="none"/>
        </w:rPr>
      </w:pPr>
      <w:r>
        <w:rPr>
          <w:spacing w:val="-2"/>
        </w:rPr>
        <w:t>SYLLABUS</w:t>
      </w:r>
      <w:r w:rsidR="00430553">
        <w:rPr>
          <w:spacing w:val="-2"/>
        </w:rPr>
        <w:t xml:space="preserve"> DE COURS</w:t>
      </w:r>
    </w:p>
    <w:p w:rsidR="00A763AF" w:rsidRDefault="00A763AF">
      <w:pPr>
        <w:spacing w:before="5"/>
        <w:rPr>
          <w:b/>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2"/>
        <w:gridCol w:w="6690"/>
      </w:tblGrid>
      <w:tr w:rsidR="00430553" w:rsidTr="00430553">
        <w:trPr>
          <w:trHeight w:val="294"/>
        </w:trPr>
        <w:tc>
          <w:tcPr>
            <w:tcW w:w="3262" w:type="dxa"/>
            <w:vAlign w:val="center"/>
          </w:tcPr>
          <w:p w:rsidR="00430553" w:rsidRDefault="00430553">
            <w:pPr>
              <w:pStyle w:val="TableParagraph"/>
              <w:spacing w:before="1" w:line="273" w:lineRule="exact"/>
              <w:ind w:left="144" w:right="137"/>
              <w:jc w:val="center"/>
              <w:rPr>
                <w:b/>
                <w:sz w:val="24"/>
              </w:rPr>
            </w:pPr>
            <w:r>
              <w:rPr>
                <w:b/>
                <w:sz w:val="24"/>
              </w:rPr>
              <w:t>Année d’étude - parcours</w:t>
            </w:r>
          </w:p>
        </w:tc>
        <w:tc>
          <w:tcPr>
            <w:tcW w:w="6690" w:type="dxa"/>
            <w:vAlign w:val="center"/>
          </w:tcPr>
          <w:p w:rsidR="00430553" w:rsidRDefault="00446016" w:rsidP="00430553">
            <w:pPr>
              <w:pStyle w:val="TableParagraph"/>
              <w:spacing w:before="1" w:line="273" w:lineRule="exact"/>
              <w:rPr>
                <w:b/>
                <w:sz w:val="24"/>
              </w:rPr>
            </w:pPr>
            <w:r>
              <w:rPr>
                <w:b/>
                <w:sz w:val="24"/>
              </w:rPr>
              <w:t>L2 Economie Gestion</w:t>
            </w:r>
          </w:p>
        </w:tc>
      </w:tr>
      <w:tr w:rsidR="00A763AF" w:rsidTr="00430553">
        <w:trPr>
          <w:trHeight w:val="294"/>
        </w:trPr>
        <w:tc>
          <w:tcPr>
            <w:tcW w:w="3262" w:type="dxa"/>
            <w:vAlign w:val="center"/>
          </w:tcPr>
          <w:p w:rsidR="00A763AF" w:rsidRDefault="00BE5B8A">
            <w:pPr>
              <w:pStyle w:val="TableParagraph"/>
              <w:spacing w:before="1" w:line="273" w:lineRule="exact"/>
              <w:ind w:left="144" w:right="137"/>
              <w:jc w:val="center"/>
              <w:rPr>
                <w:b/>
                <w:sz w:val="24"/>
              </w:rPr>
            </w:pPr>
            <w:r>
              <w:rPr>
                <w:b/>
                <w:sz w:val="24"/>
              </w:rPr>
              <w:t>Intitulé</w:t>
            </w:r>
            <w:r>
              <w:rPr>
                <w:b/>
                <w:spacing w:val="-2"/>
                <w:sz w:val="24"/>
              </w:rPr>
              <w:t xml:space="preserve"> </w:t>
            </w:r>
            <w:r>
              <w:rPr>
                <w:b/>
                <w:sz w:val="24"/>
              </w:rPr>
              <w:t>du</w:t>
            </w:r>
            <w:r>
              <w:rPr>
                <w:b/>
                <w:spacing w:val="-2"/>
                <w:sz w:val="24"/>
              </w:rPr>
              <w:t xml:space="preserve"> cours</w:t>
            </w:r>
          </w:p>
        </w:tc>
        <w:tc>
          <w:tcPr>
            <w:tcW w:w="6690" w:type="dxa"/>
            <w:vAlign w:val="center"/>
          </w:tcPr>
          <w:p w:rsidR="00A763AF" w:rsidRDefault="00446016" w:rsidP="00430553">
            <w:pPr>
              <w:pStyle w:val="TableParagraph"/>
              <w:spacing w:before="1" w:line="273" w:lineRule="exact"/>
              <w:rPr>
                <w:b/>
                <w:sz w:val="24"/>
              </w:rPr>
            </w:pPr>
            <w:r>
              <w:rPr>
                <w:b/>
                <w:sz w:val="24"/>
              </w:rPr>
              <w:t>Finances publiques</w:t>
            </w:r>
          </w:p>
        </w:tc>
      </w:tr>
      <w:tr w:rsidR="00A763AF" w:rsidTr="00430553">
        <w:trPr>
          <w:trHeight w:val="292"/>
        </w:trPr>
        <w:tc>
          <w:tcPr>
            <w:tcW w:w="3262" w:type="dxa"/>
            <w:vAlign w:val="center"/>
          </w:tcPr>
          <w:p w:rsidR="00A763AF" w:rsidRDefault="00BE5B8A">
            <w:pPr>
              <w:pStyle w:val="TableParagraph"/>
              <w:spacing w:line="272" w:lineRule="exact"/>
              <w:ind w:left="144" w:right="136"/>
              <w:jc w:val="center"/>
              <w:rPr>
                <w:b/>
                <w:sz w:val="24"/>
              </w:rPr>
            </w:pPr>
            <w:r>
              <w:rPr>
                <w:b/>
                <w:sz w:val="24"/>
              </w:rPr>
              <w:t>Numéro</w:t>
            </w:r>
            <w:r>
              <w:rPr>
                <w:b/>
                <w:spacing w:val="-1"/>
                <w:sz w:val="24"/>
              </w:rPr>
              <w:t xml:space="preserve"> </w:t>
            </w:r>
            <w:r>
              <w:rPr>
                <w:b/>
                <w:sz w:val="24"/>
              </w:rPr>
              <w:t>de</w:t>
            </w:r>
            <w:r>
              <w:rPr>
                <w:b/>
                <w:spacing w:val="-3"/>
                <w:sz w:val="24"/>
              </w:rPr>
              <w:t xml:space="preserve"> </w:t>
            </w:r>
            <w:r>
              <w:rPr>
                <w:b/>
                <w:spacing w:val="-4"/>
                <w:sz w:val="24"/>
              </w:rPr>
              <w:t>l’UE</w:t>
            </w:r>
          </w:p>
        </w:tc>
        <w:tc>
          <w:tcPr>
            <w:tcW w:w="6690" w:type="dxa"/>
            <w:vAlign w:val="center"/>
          </w:tcPr>
          <w:p w:rsidR="00A763AF" w:rsidRDefault="00A763AF" w:rsidP="00430553">
            <w:pPr>
              <w:pStyle w:val="TableParagraph"/>
              <w:spacing w:line="265" w:lineRule="exact"/>
            </w:pPr>
          </w:p>
        </w:tc>
      </w:tr>
      <w:tr w:rsidR="00A763AF" w:rsidTr="00430553">
        <w:trPr>
          <w:trHeight w:val="585"/>
        </w:trPr>
        <w:tc>
          <w:tcPr>
            <w:tcW w:w="3262" w:type="dxa"/>
            <w:vAlign w:val="center"/>
          </w:tcPr>
          <w:p w:rsidR="00A763AF" w:rsidRDefault="00BE5B8A">
            <w:pPr>
              <w:pStyle w:val="TableParagraph"/>
              <w:spacing w:line="292" w:lineRule="exact"/>
              <w:ind w:left="143" w:right="137"/>
              <w:jc w:val="center"/>
              <w:rPr>
                <w:b/>
                <w:sz w:val="24"/>
              </w:rPr>
            </w:pPr>
            <w:r>
              <w:rPr>
                <w:b/>
                <w:sz w:val="24"/>
              </w:rPr>
              <w:t>Volume</w:t>
            </w:r>
            <w:r>
              <w:rPr>
                <w:b/>
                <w:spacing w:val="-4"/>
                <w:sz w:val="24"/>
              </w:rPr>
              <w:t xml:space="preserve"> </w:t>
            </w:r>
            <w:r>
              <w:rPr>
                <w:b/>
                <w:sz w:val="24"/>
              </w:rPr>
              <w:t>horaire</w:t>
            </w:r>
            <w:r>
              <w:rPr>
                <w:b/>
                <w:spacing w:val="-1"/>
                <w:sz w:val="24"/>
              </w:rPr>
              <w:t xml:space="preserve"> </w:t>
            </w:r>
            <w:r>
              <w:rPr>
                <w:b/>
                <w:sz w:val="24"/>
              </w:rPr>
              <w:t>(en</w:t>
            </w:r>
            <w:r>
              <w:rPr>
                <w:b/>
                <w:spacing w:val="-3"/>
                <w:sz w:val="24"/>
              </w:rPr>
              <w:t xml:space="preserve"> </w:t>
            </w:r>
            <w:r>
              <w:rPr>
                <w:b/>
                <w:spacing w:val="-2"/>
                <w:sz w:val="24"/>
              </w:rPr>
              <w:t>heures</w:t>
            </w:r>
          </w:p>
          <w:p w:rsidR="00A763AF" w:rsidRDefault="00BE5B8A">
            <w:pPr>
              <w:pStyle w:val="TableParagraph"/>
              <w:spacing w:line="273" w:lineRule="exact"/>
              <w:ind w:left="142" w:right="137"/>
              <w:jc w:val="center"/>
              <w:rPr>
                <w:b/>
                <w:sz w:val="24"/>
              </w:rPr>
            </w:pPr>
            <w:r>
              <w:rPr>
                <w:b/>
                <w:spacing w:val="-2"/>
                <w:sz w:val="24"/>
              </w:rPr>
              <w:t>maquettes)</w:t>
            </w:r>
          </w:p>
        </w:tc>
        <w:tc>
          <w:tcPr>
            <w:tcW w:w="6690" w:type="dxa"/>
            <w:vAlign w:val="center"/>
          </w:tcPr>
          <w:p w:rsidR="00A763AF" w:rsidRDefault="001C08A1" w:rsidP="001C08A1">
            <w:pPr>
              <w:pStyle w:val="TableParagraph"/>
              <w:spacing w:line="265" w:lineRule="exact"/>
            </w:pPr>
            <w:r>
              <w:t>17h30</w:t>
            </w:r>
          </w:p>
        </w:tc>
      </w:tr>
      <w:tr w:rsidR="00A763AF" w:rsidTr="00430553">
        <w:trPr>
          <w:trHeight w:val="2150"/>
        </w:trPr>
        <w:tc>
          <w:tcPr>
            <w:tcW w:w="3262" w:type="dxa"/>
            <w:vAlign w:val="center"/>
          </w:tcPr>
          <w:p w:rsidR="00430553" w:rsidRDefault="00BE5B8A" w:rsidP="00430553">
            <w:pPr>
              <w:pStyle w:val="TableParagraph"/>
              <w:ind w:left="881" w:hanging="629"/>
              <w:jc w:val="center"/>
              <w:rPr>
                <w:b/>
                <w:sz w:val="24"/>
              </w:rPr>
            </w:pPr>
            <w:r>
              <w:rPr>
                <w:b/>
                <w:sz w:val="24"/>
              </w:rPr>
              <w:t>Objectifs</w:t>
            </w:r>
            <w:r>
              <w:rPr>
                <w:b/>
                <w:spacing w:val="-14"/>
                <w:sz w:val="24"/>
              </w:rPr>
              <w:t xml:space="preserve"> </w:t>
            </w:r>
            <w:r>
              <w:rPr>
                <w:b/>
                <w:sz w:val="24"/>
              </w:rPr>
              <w:t>et</w:t>
            </w:r>
            <w:r>
              <w:rPr>
                <w:b/>
                <w:spacing w:val="-14"/>
                <w:sz w:val="24"/>
              </w:rPr>
              <w:t xml:space="preserve"> </w:t>
            </w:r>
            <w:r w:rsidR="00430553">
              <w:rPr>
                <w:b/>
                <w:sz w:val="24"/>
              </w:rPr>
              <w:t>compétences</w:t>
            </w:r>
          </w:p>
          <w:p w:rsidR="00A763AF" w:rsidRDefault="00BE5B8A" w:rsidP="00430553">
            <w:pPr>
              <w:pStyle w:val="TableParagraph"/>
              <w:ind w:left="881" w:hanging="629"/>
              <w:jc w:val="center"/>
              <w:rPr>
                <w:b/>
                <w:sz w:val="24"/>
              </w:rPr>
            </w:pPr>
            <w:r>
              <w:rPr>
                <w:b/>
                <w:spacing w:val="-2"/>
                <w:sz w:val="24"/>
              </w:rPr>
              <w:t>développées</w:t>
            </w:r>
          </w:p>
        </w:tc>
        <w:tc>
          <w:tcPr>
            <w:tcW w:w="6690" w:type="dxa"/>
            <w:vAlign w:val="center"/>
          </w:tcPr>
          <w:p w:rsidR="00A763AF" w:rsidRDefault="00446016" w:rsidP="00430553">
            <w:pPr>
              <w:pStyle w:val="TableParagraph"/>
              <w:ind w:right="91"/>
            </w:pPr>
            <w:r>
              <w:t>L’objectif du cours est de développer les capacités d’argumentation analytique</w:t>
            </w:r>
            <w:r w:rsidR="004E1AE8">
              <w:t xml:space="preserve"> des étudiants en économie sur les questions des dépenses et recettes publiques.</w:t>
            </w:r>
            <w:r>
              <w:t xml:space="preserve"> Pour cela sont présentés des concepts et des mécanismes économiques justifiant les dépenses publiques, discutant de leurs niveaux idéaux, la manière dont sont construits les budgets publics, des impacts économiques des prélèvements et recettes.</w:t>
            </w:r>
          </w:p>
          <w:p w:rsidR="00446016" w:rsidRDefault="00446016" w:rsidP="00446016">
            <w:pPr>
              <w:pStyle w:val="TableParagraph"/>
              <w:ind w:right="91"/>
            </w:pPr>
            <w:r>
              <w:t xml:space="preserve">Les compétences sont donc argumentatives basées sur du raisonnement analytique et basées dans certaines parties sur du calcul économique. En outre, des connaissances factuelles et </w:t>
            </w:r>
            <w:r w:rsidR="004E1AE8">
              <w:t>d’ordres administratifs</w:t>
            </w:r>
            <w:r>
              <w:t xml:space="preserve"> sont </w:t>
            </w:r>
            <w:r w:rsidR="004E1AE8">
              <w:t>donnés</w:t>
            </w:r>
            <w:r>
              <w:t xml:space="preserve"> essentiellement à partir du cas français</w:t>
            </w:r>
          </w:p>
        </w:tc>
      </w:tr>
      <w:tr w:rsidR="00A763AF" w:rsidTr="00430553">
        <w:trPr>
          <w:trHeight w:val="3544"/>
        </w:trPr>
        <w:tc>
          <w:tcPr>
            <w:tcW w:w="3262" w:type="dxa"/>
            <w:vAlign w:val="center"/>
          </w:tcPr>
          <w:p w:rsidR="00430553" w:rsidRDefault="00BE5B8A" w:rsidP="00430553">
            <w:pPr>
              <w:pStyle w:val="TableParagraph"/>
              <w:ind w:left="0"/>
              <w:jc w:val="center"/>
              <w:rPr>
                <w:b/>
                <w:sz w:val="24"/>
              </w:rPr>
            </w:pPr>
            <w:r>
              <w:rPr>
                <w:b/>
                <w:sz w:val="24"/>
              </w:rPr>
              <w:t>Contenu</w:t>
            </w:r>
            <w:r w:rsidRPr="00430553">
              <w:rPr>
                <w:b/>
                <w:sz w:val="24"/>
              </w:rPr>
              <w:t xml:space="preserve"> </w:t>
            </w:r>
            <w:r>
              <w:rPr>
                <w:b/>
                <w:sz w:val="24"/>
              </w:rPr>
              <w:t>et</w:t>
            </w:r>
            <w:r w:rsidRPr="00430553">
              <w:rPr>
                <w:b/>
                <w:sz w:val="24"/>
              </w:rPr>
              <w:t xml:space="preserve"> </w:t>
            </w:r>
            <w:r w:rsidR="00430553">
              <w:rPr>
                <w:b/>
                <w:sz w:val="24"/>
              </w:rPr>
              <w:t>moyens</w:t>
            </w:r>
          </w:p>
          <w:p w:rsidR="00A763AF" w:rsidRDefault="00BE5B8A" w:rsidP="00430553">
            <w:pPr>
              <w:pStyle w:val="TableParagraph"/>
              <w:ind w:left="0"/>
              <w:jc w:val="center"/>
              <w:rPr>
                <w:b/>
                <w:sz w:val="24"/>
              </w:rPr>
            </w:pPr>
            <w:r w:rsidRPr="00430553">
              <w:rPr>
                <w:b/>
                <w:sz w:val="24"/>
              </w:rPr>
              <w:t>pédagogiques</w:t>
            </w:r>
          </w:p>
        </w:tc>
        <w:tc>
          <w:tcPr>
            <w:tcW w:w="6690" w:type="dxa"/>
            <w:vAlign w:val="center"/>
          </w:tcPr>
          <w:p w:rsidR="00A763AF" w:rsidRDefault="001C08A1" w:rsidP="00430553">
            <w:pPr>
              <w:pStyle w:val="TableParagraph"/>
              <w:ind w:right="91"/>
              <w:rPr>
                <w:sz w:val="24"/>
              </w:rPr>
            </w:pPr>
            <w:r>
              <w:rPr>
                <w:sz w:val="24"/>
              </w:rPr>
              <w:t xml:space="preserve">L’enseignement </w:t>
            </w:r>
            <w:r w:rsidR="00446016">
              <w:rPr>
                <w:sz w:val="24"/>
              </w:rPr>
              <w:t>est réalisé en présentiel.</w:t>
            </w:r>
          </w:p>
          <w:p w:rsidR="00446016" w:rsidRDefault="00446016" w:rsidP="00430553">
            <w:pPr>
              <w:pStyle w:val="TableParagraph"/>
              <w:ind w:right="91"/>
              <w:rPr>
                <w:sz w:val="24"/>
              </w:rPr>
            </w:pPr>
            <w:r>
              <w:rPr>
                <w:sz w:val="24"/>
              </w:rPr>
              <w:t xml:space="preserve">Le cours s’appuie sur un </w:t>
            </w:r>
            <w:proofErr w:type="spellStart"/>
            <w:r>
              <w:rPr>
                <w:sz w:val="24"/>
              </w:rPr>
              <w:t>powerpoint</w:t>
            </w:r>
            <w:proofErr w:type="spellEnd"/>
            <w:r>
              <w:rPr>
                <w:sz w:val="24"/>
              </w:rPr>
              <w:t xml:space="preserve"> qui est à la disposition des étudiants </w:t>
            </w:r>
            <w:r w:rsidR="001C08A1">
              <w:rPr>
                <w:sz w:val="24"/>
              </w:rPr>
              <w:t>sur la plateforme Moodle dédiée</w:t>
            </w:r>
            <w:r>
              <w:rPr>
                <w:sz w:val="24"/>
              </w:rPr>
              <w:t xml:space="preserve"> au cours.</w:t>
            </w:r>
          </w:p>
          <w:p w:rsidR="00446016" w:rsidRDefault="00446016" w:rsidP="00446016">
            <w:pPr>
              <w:pStyle w:val="TableParagraph"/>
              <w:ind w:right="91"/>
              <w:rPr>
                <w:sz w:val="24"/>
              </w:rPr>
            </w:pPr>
            <w:r>
              <w:rPr>
                <w:sz w:val="24"/>
              </w:rPr>
              <w:t>Une bibliographie est fournie aux étudiants pour qu’ils puissent compléter et affiner leurs connaissances.</w:t>
            </w:r>
          </w:p>
          <w:p w:rsidR="00446016" w:rsidRDefault="00446016" w:rsidP="00446016">
            <w:pPr>
              <w:pStyle w:val="TableParagraph"/>
              <w:ind w:right="91"/>
              <w:rPr>
                <w:sz w:val="24"/>
              </w:rPr>
            </w:pPr>
            <w:r>
              <w:rPr>
                <w:sz w:val="24"/>
              </w:rPr>
              <w:t>L’enseignement est structuré, à date, autour de quatre chapitres :</w:t>
            </w:r>
          </w:p>
          <w:p w:rsidR="001C08A1" w:rsidRPr="001C08A1" w:rsidRDefault="001C08A1" w:rsidP="001C08A1">
            <w:pPr>
              <w:pStyle w:val="TableParagraph"/>
              <w:ind w:right="91"/>
              <w:rPr>
                <w:sz w:val="24"/>
              </w:rPr>
            </w:pPr>
            <w:r w:rsidRPr="001C08A1">
              <w:rPr>
                <w:sz w:val="24"/>
              </w:rPr>
              <w:t>Chapitre 1. La justification de l’intervention de l’Etat</w:t>
            </w:r>
          </w:p>
          <w:p w:rsidR="001C08A1" w:rsidRPr="001C08A1" w:rsidRDefault="001C08A1" w:rsidP="001C08A1">
            <w:pPr>
              <w:pStyle w:val="TableParagraph"/>
              <w:ind w:right="91"/>
              <w:rPr>
                <w:sz w:val="24"/>
              </w:rPr>
            </w:pPr>
            <w:r w:rsidRPr="001C08A1">
              <w:rPr>
                <w:sz w:val="24"/>
              </w:rPr>
              <w:t>Chapitre 2. Les ressources de l’Etat</w:t>
            </w:r>
          </w:p>
          <w:p w:rsidR="001C08A1" w:rsidRPr="001C08A1" w:rsidRDefault="001C08A1" w:rsidP="001C08A1">
            <w:pPr>
              <w:pStyle w:val="TableParagraph"/>
              <w:ind w:right="91"/>
              <w:rPr>
                <w:sz w:val="24"/>
              </w:rPr>
            </w:pPr>
            <w:r w:rsidRPr="001C08A1">
              <w:rPr>
                <w:sz w:val="24"/>
              </w:rPr>
              <w:t>Chapitre 3. Analyse économique de l’impôt</w:t>
            </w:r>
          </w:p>
          <w:p w:rsidR="00446016" w:rsidRDefault="001C08A1" w:rsidP="001C08A1">
            <w:pPr>
              <w:pStyle w:val="TableParagraph"/>
              <w:ind w:right="91"/>
              <w:rPr>
                <w:sz w:val="24"/>
              </w:rPr>
            </w:pPr>
            <w:r w:rsidRPr="001C08A1">
              <w:rPr>
                <w:sz w:val="24"/>
              </w:rPr>
              <w:t>Chapitre 4. La question de la soutenabilité de la dette publique</w:t>
            </w:r>
          </w:p>
        </w:tc>
      </w:tr>
      <w:tr w:rsidR="00A763AF" w:rsidTr="00430553">
        <w:trPr>
          <w:trHeight w:val="794"/>
        </w:trPr>
        <w:tc>
          <w:tcPr>
            <w:tcW w:w="3262" w:type="dxa"/>
            <w:vAlign w:val="center"/>
          </w:tcPr>
          <w:p w:rsidR="00A763AF" w:rsidRDefault="00BE5B8A" w:rsidP="00430553">
            <w:pPr>
              <w:pStyle w:val="TableParagraph"/>
              <w:ind w:left="0"/>
              <w:jc w:val="center"/>
              <w:rPr>
                <w:b/>
                <w:sz w:val="24"/>
              </w:rPr>
            </w:pPr>
            <w:proofErr w:type="spellStart"/>
            <w:r w:rsidRPr="00430553">
              <w:rPr>
                <w:b/>
                <w:sz w:val="24"/>
              </w:rPr>
              <w:t>Pré-requis</w:t>
            </w:r>
            <w:proofErr w:type="spellEnd"/>
          </w:p>
        </w:tc>
        <w:tc>
          <w:tcPr>
            <w:tcW w:w="6690" w:type="dxa"/>
            <w:vAlign w:val="center"/>
          </w:tcPr>
          <w:p w:rsidR="00A763AF" w:rsidRDefault="001C08A1" w:rsidP="00430553">
            <w:pPr>
              <w:pStyle w:val="TableParagraph"/>
              <w:spacing w:line="265" w:lineRule="exact"/>
            </w:pPr>
            <w:r>
              <w:t>Calcul microéconomique niveau L1</w:t>
            </w:r>
          </w:p>
          <w:p w:rsidR="001C08A1" w:rsidRDefault="001C08A1" w:rsidP="00430553">
            <w:pPr>
              <w:pStyle w:val="TableParagraph"/>
              <w:spacing w:line="265" w:lineRule="exact"/>
            </w:pPr>
            <w:r>
              <w:t>Analyse Macroéconomique des grandes fonctions économiques</w:t>
            </w:r>
          </w:p>
          <w:p w:rsidR="001C08A1" w:rsidRDefault="001C08A1" w:rsidP="00430553">
            <w:pPr>
              <w:pStyle w:val="TableParagraph"/>
              <w:spacing w:line="265" w:lineRule="exact"/>
            </w:pPr>
            <w:r>
              <w:t>Capacité de prise de notes</w:t>
            </w:r>
          </w:p>
        </w:tc>
      </w:tr>
      <w:tr w:rsidR="00A763AF" w:rsidTr="00430553">
        <w:trPr>
          <w:trHeight w:val="292"/>
        </w:trPr>
        <w:tc>
          <w:tcPr>
            <w:tcW w:w="3262" w:type="dxa"/>
            <w:vAlign w:val="center"/>
          </w:tcPr>
          <w:p w:rsidR="00A763AF" w:rsidRDefault="00BE5B8A" w:rsidP="00430553">
            <w:pPr>
              <w:pStyle w:val="TableParagraph"/>
              <w:ind w:left="0"/>
              <w:jc w:val="center"/>
              <w:rPr>
                <w:b/>
                <w:sz w:val="24"/>
              </w:rPr>
            </w:pPr>
            <w:r>
              <w:rPr>
                <w:b/>
                <w:sz w:val="24"/>
              </w:rPr>
              <w:t xml:space="preserve">Modalités </w:t>
            </w:r>
            <w:r w:rsidRPr="00430553">
              <w:rPr>
                <w:b/>
                <w:sz w:val="24"/>
              </w:rPr>
              <w:t>d’évaluation</w:t>
            </w:r>
          </w:p>
        </w:tc>
        <w:tc>
          <w:tcPr>
            <w:tcW w:w="6690" w:type="dxa"/>
            <w:vAlign w:val="center"/>
          </w:tcPr>
          <w:p w:rsidR="00A763AF" w:rsidRDefault="001C08A1" w:rsidP="00430553">
            <w:pPr>
              <w:pStyle w:val="TableParagraph"/>
              <w:spacing w:line="265" w:lineRule="exact"/>
            </w:pPr>
            <w:r>
              <w:t>Contrôle terminal écrit</w:t>
            </w:r>
          </w:p>
        </w:tc>
      </w:tr>
      <w:tr w:rsidR="00A763AF" w:rsidRPr="001C08A1" w:rsidTr="00430553">
        <w:trPr>
          <w:trHeight w:val="971"/>
        </w:trPr>
        <w:tc>
          <w:tcPr>
            <w:tcW w:w="3262" w:type="dxa"/>
            <w:vAlign w:val="center"/>
          </w:tcPr>
          <w:p w:rsidR="00A763AF" w:rsidRDefault="00BE5B8A" w:rsidP="00430553">
            <w:pPr>
              <w:pStyle w:val="TableParagraph"/>
              <w:ind w:left="0"/>
              <w:jc w:val="center"/>
              <w:rPr>
                <w:b/>
                <w:sz w:val="24"/>
              </w:rPr>
            </w:pPr>
            <w:r w:rsidRPr="00430553">
              <w:rPr>
                <w:b/>
                <w:sz w:val="24"/>
              </w:rPr>
              <w:t>Références bibliographiques</w:t>
            </w:r>
          </w:p>
        </w:tc>
        <w:tc>
          <w:tcPr>
            <w:tcW w:w="6690" w:type="dxa"/>
            <w:vAlign w:val="center"/>
          </w:tcPr>
          <w:p w:rsidR="001C08A1" w:rsidRPr="001C08A1" w:rsidRDefault="001C08A1" w:rsidP="001C08A1">
            <w:pPr>
              <w:pStyle w:val="TableParagraph"/>
              <w:numPr>
                <w:ilvl w:val="0"/>
                <w:numId w:val="1"/>
              </w:numPr>
              <w:spacing w:line="288" w:lineRule="auto"/>
              <w:ind w:left="424"/>
              <w:rPr>
                <w:sz w:val="24"/>
              </w:rPr>
            </w:pPr>
            <w:r w:rsidRPr="001C08A1">
              <w:rPr>
                <w:sz w:val="24"/>
              </w:rPr>
              <w:t>Huart, F</w:t>
            </w:r>
            <w:r w:rsidR="004E1AE8">
              <w:rPr>
                <w:sz w:val="24"/>
              </w:rPr>
              <w:t>.</w:t>
            </w:r>
            <w:r w:rsidRPr="001C08A1">
              <w:rPr>
                <w:sz w:val="24"/>
              </w:rPr>
              <w:t xml:space="preserve">, </w:t>
            </w:r>
            <w:r w:rsidRPr="004E1AE8">
              <w:rPr>
                <w:i/>
                <w:sz w:val="24"/>
              </w:rPr>
              <w:t>Economie des finances publiques</w:t>
            </w:r>
            <w:r w:rsidRPr="001C08A1">
              <w:rPr>
                <w:sz w:val="24"/>
              </w:rPr>
              <w:t xml:space="preserve">, </w:t>
            </w:r>
            <w:proofErr w:type="spellStart"/>
            <w:r w:rsidRPr="001C08A1">
              <w:rPr>
                <w:sz w:val="24"/>
              </w:rPr>
              <w:t>Dunod</w:t>
            </w:r>
            <w:proofErr w:type="spellEnd"/>
            <w:r w:rsidRPr="001C08A1">
              <w:rPr>
                <w:sz w:val="24"/>
              </w:rPr>
              <w:t>, Paris, 2016.</w:t>
            </w:r>
          </w:p>
          <w:p w:rsidR="001C08A1" w:rsidRPr="001C08A1" w:rsidRDefault="001C08A1" w:rsidP="001C08A1">
            <w:pPr>
              <w:pStyle w:val="TableParagraph"/>
              <w:numPr>
                <w:ilvl w:val="0"/>
                <w:numId w:val="1"/>
              </w:numPr>
              <w:spacing w:line="288" w:lineRule="auto"/>
              <w:ind w:left="424"/>
              <w:rPr>
                <w:sz w:val="24"/>
              </w:rPr>
            </w:pPr>
            <w:r w:rsidRPr="001C08A1">
              <w:rPr>
                <w:sz w:val="24"/>
              </w:rPr>
              <w:t xml:space="preserve">Berr, E., Charles, L., </w:t>
            </w:r>
            <w:proofErr w:type="spellStart"/>
            <w:r w:rsidRPr="001C08A1">
              <w:rPr>
                <w:sz w:val="24"/>
              </w:rPr>
              <w:t>Jatteau</w:t>
            </w:r>
            <w:proofErr w:type="spellEnd"/>
            <w:r w:rsidRPr="001C08A1">
              <w:rPr>
                <w:sz w:val="24"/>
              </w:rPr>
              <w:t xml:space="preserve">, A., Marie, J., </w:t>
            </w:r>
            <w:proofErr w:type="spellStart"/>
            <w:r w:rsidRPr="001C08A1">
              <w:rPr>
                <w:sz w:val="24"/>
              </w:rPr>
              <w:t>Pellegris</w:t>
            </w:r>
            <w:proofErr w:type="spellEnd"/>
            <w:r w:rsidRPr="001C08A1">
              <w:rPr>
                <w:sz w:val="24"/>
              </w:rPr>
              <w:t xml:space="preserve">, A., </w:t>
            </w:r>
            <w:r w:rsidRPr="004E1AE8">
              <w:rPr>
                <w:i/>
                <w:sz w:val="24"/>
              </w:rPr>
              <w:t>La dette publique : Précis d’économie citoyenne</w:t>
            </w:r>
            <w:r w:rsidRPr="001C08A1">
              <w:rPr>
                <w:sz w:val="24"/>
              </w:rPr>
              <w:t>,</w:t>
            </w:r>
            <w:r>
              <w:rPr>
                <w:sz w:val="24"/>
              </w:rPr>
              <w:t xml:space="preserve"> </w:t>
            </w:r>
            <w:r w:rsidRPr="001C08A1">
              <w:rPr>
                <w:sz w:val="24"/>
              </w:rPr>
              <w:t>Seuil, Paris, 2021.</w:t>
            </w:r>
          </w:p>
          <w:p w:rsidR="001C08A1" w:rsidRPr="001C08A1" w:rsidRDefault="001C08A1" w:rsidP="001C08A1">
            <w:pPr>
              <w:pStyle w:val="TableParagraph"/>
              <w:numPr>
                <w:ilvl w:val="0"/>
                <w:numId w:val="1"/>
              </w:numPr>
              <w:spacing w:line="288" w:lineRule="auto"/>
              <w:ind w:left="424"/>
              <w:rPr>
                <w:sz w:val="24"/>
              </w:rPr>
            </w:pPr>
            <w:proofErr w:type="spellStart"/>
            <w:r w:rsidRPr="001C08A1">
              <w:rPr>
                <w:sz w:val="24"/>
              </w:rPr>
              <w:t>Bozio</w:t>
            </w:r>
            <w:proofErr w:type="spellEnd"/>
            <w:r w:rsidRPr="001C08A1">
              <w:rPr>
                <w:sz w:val="24"/>
              </w:rPr>
              <w:t>, A</w:t>
            </w:r>
            <w:r w:rsidR="004E1AE8">
              <w:rPr>
                <w:sz w:val="24"/>
              </w:rPr>
              <w:t>.</w:t>
            </w:r>
            <w:r w:rsidRPr="001C08A1">
              <w:rPr>
                <w:sz w:val="24"/>
              </w:rPr>
              <w:t>, Grenet J</w:t>
            </w:r>
            <w:r w:rsidR="004E1AE8">
              <w:rPr>
                <w:sz w:val="24"/>
              </w:rPr>
              <w:t>.</w:t>
            </w:r>
            <w:r w:rsidRPr="001C08A1">
              <w:rPr>
                <w:sz w:val="24"/>
              </w:rPr>
              <w:t>, (</w:t>
            </w:r>
            <w:proofErr w:type="spellStart"/>
            <w:r w:rsidRPr="001C08A1">
              <w:rPr>
                <w:sz w:val="24"/>
              </w:rPr>
              <w:t>ed</w:t>
            </w:r>
            <w:proofErr w:type="spellEnd"/>
            <w:r w:rsidRPr="001C08A1">
              <w:rPr>
                <w:sz w:val="24"/>
              </w:rPr>
              <w:t xml:space="preserve">.), </w:t>
            </w:r>
            <w:r w:rsidRPr="004E1AE8">
              <w:rPr>
                <w:i/>
                <w:sz w:val="24"/>
              </w:rPr>
              <w:t>Economie des politiques publiques</w:t>
            </w:r>
            <w:r w:rsidRPr="001C08A1">
              <w:rPr>
                <w:sz w:val="24"/>
              </w:rPr>
              <w:t>, Repères, La Découverte, Paris,</w:t>
            </w:r>
            <w:r>
              <w:rPr>
                <w:sz w:val="24"/>
              </w:rPr>
              <w:t xml:space="preserve"> </w:t>
            </w:r>
            <w:r w:rsidRPr="001C08A1">
              <w:rPr>
                <w:sz w:val="24"/>
              </w:rPr>
              <w:t>2017.</w:t>
            </w:r>
          </w:p>
          <w:p w:rsidR="001C08A1" w:rsidRPr="001C08A1" w:rsidRDefault="001C08A1" w:rsidP="001C08A1">
            <w:pPr>
              <w:pStyle w:val="TableParagraph"/>
              <w:numPr>
                <w:ilvl w:val="0"/>
                <w:numId w:val="1"/>
              </w:numPr>
              <w:spacing w:line="288" w:lineRule="auto"/>
              <w:ind w:left="424"/>
              <w:rPr>
                <w:sz w:val="24"/>
              </w:rPr>
            </w:pPr>
            <w:proofErr w:type="spellStart"/>
            <w:r w:rsidRPr="001C08A1">
              <w:rPr>
                <w:sz w:val="24"/>
              </w:rPr>
              <w:t>Facchini</w:t>
            </w:r>
            <w:proofErr w:type="spellEnd"/>
            <w:r w:rsidRPr="001C08A1">
              <w:rPr>
                <w:sz w:val="24"/>
              </w:rPr>
              <w:t>, F</w:t>
            </w:r>
            <w:r w:rsidR="004E1AE8">
              <w:rPr>
                <w:sz w:val="24"/>
              </w:rPr>
              <w:t>.</w:t>
            </w:r>
            <w:r w:rsidRPr="001C08A1">
              <w:rPr>
                <w:sz w:val="24"/>
              </w:rPr>
              <w:t xml:space="preserve">, </w:t>
            </w:r>
            <w:r w:rsidRPr="004E1AE8">
              <w:rPr>
                <w:i/>
                <w:sz w:val="24"/>
              </w:rPr>
              <w:t>Les dépenses publiques en France</w:t>
            </w:r>
            <w:r w:rsidRPr="001C08A1">
              <w:rPr>
                <w:sz w:val="24"/>
              </w:rPr>
              <w:t xml:space="preserve">, </w:t>
            </w:r>
            <w:proofErr w:type="spellStart"/>
            <w:r w:rsidRPr="001C08A1">
              <w:rPr>
                <w:sz w:val="24"/>
              </w:rPr>
              <w:t>DeBoeck</w:t>
            </w:r>
            <w:proofErr w:type="spellEnd"/>
            <w:r w:rsidRPr="001C08A1">
              <w:rPr>
                <w:sz w:val="24"/>
              </w:rPr>
              <w:t>, Bruxelles, 2021.</w:t>
            </w:r>
          </w:p>
          <w:p w:rsidR="00A763AF" w:rsidRPr="001C08A1" w:rsidRDefault="001C08A1" w:rsidP="001C08A1">
            <w:pPr>
              <w:pStyle w:val="TableParagraph"/>
              <w:numPr>
                <w:ilvl w:val="0"/>
                <w:numId w:val="1"/>
              </w:numPr>
              <w:spacing w:line="288" w:lineRule="auto"/>
              <w:ind w:left="424"/>
              <w:rPr>
                <w:sz w:val="24"/>
                <w:lang w:val="en-GB"/>
              </w:rPr>
            </w:pPr>
            <w:r w:rsidRPr="001C08A1">
              <w:rPr>
                <w:sz w:val="24"/>
                <w:lang w:val="en-GB"/>
              </w:rPr>
              <w:t xml:space="preserve">Musgrave, Richard A., Musgrave Peggy B., </w:t>
            </w:r>
            <w:r w:rsidRPr="004E1AE8">
              <w:rPr>
                <w:i/>
                <w:sz w:val="24"/>
                <w:lang w:val="en-GB"/>
              </w:rPr>
              <w:t>Public Finance in Theory and Practice</w:t>
            </w:r>
            <w:r w:rsidRPr="001C08A1">
              <w:rPr>
                <w:sz w:val="24"/>
                <w:lang w:val="en-GB"/>
              </w:rPr>
              <w:t>, Second Edition,</w:t>
            </w:r>
            <w:r>
              <w:rPr>
                <w:sz w:val="24"/>
                <w:lang w:val="en-GB"/>
              </w:rPr>
              <w:t xml:space="preserve"> </w:t>
            </w:r>
            <w:r w:rsidRPr="001C08A1">
              <w:rPr>
                <w:sz w:val="24"/>
                <w:lang w:val="en-GB"/>
              </w:rPr>
              <w:t>McGraw-Hill, London, 1976</w:t>
            </w:r>
          </w:p>
        </w:tc>
      </w:tr>
    </w:tbl>
    <w:p w:rsidR="00A23A5D" w:rsidRPr="001C08A1" w:rsidRDefault="00A23A5D">
      <w:pPr>
        <w:rPr>
          <w:lang w:val="en-GB"/>
        </w:rPr>
      </w:pPr>
    </w:p>
    <w:sectPr w:rsidR="00A23A5D" w:rsidRPr="001C08A1">
      <w:type w:val="continuous"/>
      <w:pgSz w:w="11910" w:h="16840"/>
      <w:pgMar w:top="800" w:right="98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56734A"/>
    <w:multiLevelType w:val="hybridMultilevel"/>
    <w:tmpl w:val="5B2C3936"/>
    <w:lvl w:ilvl="0" w:tplc="040C000D">
      <w:start w:val="1"/>
      <w:numFmt w:val="bullet"/>
      <w:lvlText w:val=""/>
      <w:lvlJc w:val="left"/>
      <w:pPr>
        <w:ind w:left="828" w:hanging="360"/>
      </w:pPr>
      <w:rPr>
        <w:rFonts w:ascii="Wingdings" w:hAnsi="Wingdings" w:hint="default"/>
      </w:rPr>
    </w:lvl>
    <w:lvl w:ilvl="1" w:tplc="040C0003" w:tentative="1">
      <w:start w:val="1"/>
      <w:numFmt w:val="bullet"/>
      <w:lvlText w:val="o"/>
      <w:lvlJc w:val="left"/>
      <w:pPr>
        <w:ind w:left="1548" w:hanging="360"/>
      </w:pPr>
      <w:rPr>
        <w:rFonts w:ascii="Courier New" w:hAnsi="Courier New" w:cs="Courier New" w:hint="default"/>
      </w:rPr>
    </w:lvl>
    <w:lvl w:ilvl="2" w:tplc="040C0005" w:tentative="1">
      <w:start w:val="1"/>
      <w:numFmt w:val="bullet"/>
      <w:lvlText w:val=""/>
      <w:lvlJc w:val="left"/>
      <w:pPr>
        <w:ind w:left="2268" w:hanging="360"/>
      </w:pPr>
      <w:rPr>
        <w:rFonts w:ascii="Wingdings" w:hAnsi="Wingdings" w:hint="default"/>
      </w:rPr>
    </w:lvl>
    <w:lvl w:ilvl="3" w:tplc="040C0001" w:tentative="1">
      <w:start w:val="1"/>
      <w:numFmt w:val="bullet"/>
      <w:lvlText w:val=""/>
      <w:lvlJc w:val="left"/>
      <w:pPr>
        <w:ind w:left="2988" w:hanging="360"/>
      </w:pPr>
      <w:rPr>
        <w:rFonts w:ascii="Symbol" w:hAnsi="Symbol" w:hint="default"/>
      </w:rPr>
    </w:lvl>
    <w:lvl w:ilvl="4" w:tplc="040C0003" w:tentative="1">
      <w:start w:val="1"/>
      <w:numFmt w:val="bullet"/>
      <w:lvlText w:val="o"/>
      <w:lvlJc w:val="left"/>
      <w:pPr>
        <w:ind w:left="3708" w:hanging="360"/>
      </w:pPr>
      <w:rPr>
        <w:rFonts w:ascii="Courier New" w:hAnsi="Courier New" w:cs="Courier New" w:hint="default"/>
      </w:rPr>
    </w:lvl>
    <w:lvl w:ilvl="5" w:tplc="040C0005" w:tentative="1">
      <w:start w:val="1"/>
      <w:numFmt w:val="bullet"/>
      <w:lvlText w:val=""/>
      <w:lvlJc w:val="left"/>
      <w:pPr>
        <w:ind w:left="4428" w:hanging="360"/>
      </w:pPr>
      <w:rPr>
        <w:rFonts w:ascii="Wingdings" w:hAnsi="Wingdings" w:hint="default"/>
      </w:rPr>
    </w:lvl>
    <w:lvl w:ilvl="6" w:tplc="040C0001" w:tentative="1">
      <w:start w:val="1"/>
      <w:numFmt w:val="bullet"/>
      <w:lvlText w:val=""/>
      <w:lvlJc w:val="left"/>
      <w:pPr>
        <w:ind w:left="5148" w:hanging="360"/>
      </w:pPr>
      <w:rPr>
        <w:rFonts w:ascii="Symbol" w:hAnsi="Symbol" w:hint="default"/>
      </w:rPr>
    </w:lvl>
    <w:lvl w:ilvl="7" w:tplc="040C0003" w:tentative="1">
      <w:start w:val="1"/>
      <w:numFmt w:val="bullet"/>
      <w:lvlText w:val="o"/>
      <w:lvlJc w:val="left"/>
      <w:pPr>
        <w:ind w:left="5868" w:hanging="360"/>
      </w:pPr>
      <w:rPr>
        <w:rFonts w:ascii="Courier New" w:hAnsi="Courier New" w:cs="Courier New" w:hint="default"/>
      </w:rPr>
    </w:lvl>
    <w:lvl w:ilvl="8" w:tplc="040C0005" w:tentative="1">
      <w:start w:val="1"/>
      <w:numFmt w:val="bullet"/>
      <w:lvlText w:val=""/>
      <w:lvlJc w:val="left"/>
      <w:pPr>
        <w:ind w:left="65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3AF"/>
    <w:rsid w:val="001C08A1"/>
    <w:rsid w:val="001E26ED"/>
    <w:rsid w:val="00430553"/>
    <w:rsid w:val="00446016"/>
    <w:rsid w:val="004E1AE8"/>
    <w:rsid w:val="00672519"/>
    <w:rsid w:val="00A23A5D"/>
    <w:rsid w:val="00A763AF"/>
    <w:rsid w:val="00BE5B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b/>
      <w:bCs/>
      <w:sz w:val="28"/>
      <w:szCs w:val="28"/>
      <w:u w:val="single" w:color="000000"/>
    </w:rPr>
  </w:style>
  <w:style w:type="paragraph" w:styleId="Paragraphedeliste">
    <w:name w:val="List Paragraph"/>
    <w:basedOn w:val="Normal"/>
    <w:uiPriority w:val="1"/>
    <w:qFormat/>
  </w:style>
  <w:style w:type="paragraph" w:customStyle="1" w:styleId="TableParagraph">
    <w:name w:val="Table Paragraph"/>
    <w:basedOn w:val="Normal"/>
    <w:uiPriority w:val="1"/>
    <w:qFormat/>
    <w:pPr>
      <w:ind w:left="108"/>
    </w:pPr>
  </w:style>
  <w:style w:type="paragraph" w:styleId="Textedebulles">
    <w:name w:val="Balloon Text"/>
    <w:basedOn w:val="Normal"/>
    <w:link w:val="TextedebullesCar"/>
    <w:uiPriority w:val="99"/>
    <w:semiHidden/>
    <w:unhideWhenUsed/>
    <w:rsid w:val="001E26ED"/>
    <w:rPr>
      <w:rFonts w:ascii="Tahoma" w:hAnsi="Tahoma" w:cs="Tahoma"/>
      <w:sz w:val="16"/>
      <w:szCs w:val="16"/>
    </w:rPr>
  </w:style>
  <w:style w:type="character" w:customStyle="1" w:styleId="TextedebullesCar">
    <w:name w:val="Texte de bulles Car"/>
    <w:basedOn w:val="Policepardfaut"/>
    <w:link w:val="Textedebulles"/>
    <w:uiPriority w:val="99"/>
    <w:semiHidden/>
    <w:rsid w:val="001E26ED"/>
    <w:rPr>
      <w:rFonts w:ascii="Tahoma" w:eastAsia="Calibri" w:hAnsi="Tahoma" w:cs="Tahoma"/>
      <w:sz w:val="16"/>
      <w:szCs w:val="16"/>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b/>
      <w:bCs/>
      <w:sz w:val="28"/>
      <w:szCs w:val="28"/>
      <w:u w:val="single" w:color="000000"/>
    </w:rPr>
  </w:style>
  <w:style w:type="paragraph" w:styleId="Paragraphedeliste">
    <w:name w:val="List Paragraph"/>
    <w:basedOn w:val="Normal"/>
    <w:uiPriority w:val="1"/>
    <w:qFormat/>
  </w:style>
  <w:style w:type="paragraph" w:customStyle="1" w:styleId="TableParagraph">
    <w:name w:val="Table Paragraph"/>
    <w:basedOn w:val="Normal"/>
    <w:uiPriority w:val="1"/>
    <w:qFormat/>
    <w:pPr>
      <w:ind w:left="108"/>
    </w:pPr>
  </w:style>
  <w:style w:type="paragraph" w:styleId="Textedebulles">
    <w:name w:val="Balloon Text"/>
    <w:basedOn w:val="Normal"/>
    <w:link w:val="TextedebullesCar"/>
    <w:uiPriority w:val="99"/>
    <w:semiHidden/>
    <w:unhideWhenUsed/>
    <w:rsid w:val="001E26ED"/>
    <w:rPr>
      <w:rFonts w:ascii="Tahoma" w:hAnsi="Tahoma" w:cs="Tahoma"/>
      <w:sz w:val="16"/>
      <w:szCs w:val="16"/>
    </w:rPr>
  </w:style>
  <w:style w:type="character" w:customStyle="1" w:styleId="TextedebullesCar">
    <w:name w:val="Texte de bulles Car"/>
    <w:basedOn w:val="Policepardfaut"/>
    <w:link w:val="Textedebulles"/>
    <w:uiPriority w:val="99"/>
    <w:semiHidden/>
    <w:rsid w:val="001E26ED"/>
    <w:rPr>
      <w:rFonts w:ascii="Tahoma" w:eastAsia="Calibri" w:hAnsi="Tahoma" w:cs="Tahoma"/>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1804</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Université de Bordeaux</Company>
  <LinksUpToDate>false</LinksUpToDate>
  <CharactersWithSpaces>2128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Frédérique Galeron</dc:creator>
  <cp:lastModifiedBy>Virol Stephane</cp:lastModifiedBy>
  <cp:revision>2</cp:revision>
  <dcterms:created xsi:type="dcterms:W3CDTF">2023-09-19T09:42:00Z</dcterms:created>
  <dcterms:modified xsi:type="dcterms:W3CDTF">2023-09-19T09:42:00Z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2016-11-02T00:00:00Z</vt:filetime>
  </property>
  <property fmtid="{D5CDD505-2E9C-101B-9397-08002B2CF9AE}" pid="3" name="Creator">
    <vt:lpwstr>Microsoft® Word 2010</vt:lpwstr>
  </property>
  <property fmtid="{D5CDD505-2E9C-101B-9397-08002B2CF9AE}" pid="4" name="LastSaved">
    <vt:filetime>2022-04-25T00:00:00Z</vt:filetime>
  </property>
</Properties>
</file>